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43.png" ContentType="image/png"/>
  <Override PartName="/word/media/rId40.png" ContentType="image/png"/>
  <Override PartName="/word/media/rId28.png" ContentType="image/png"/>
  <Override PartName="/word/media/rId45.png" ContentType="image/png"/>
  <Override PartName="/word/media/rId27.png" ContentType="image/png"/>
  <Override PartName="/word/media/rId48.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9084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390846"/>
                    </a:xfrm>
                    <a:prstGeom prst="rect">
                      <a:avLst/>
                    </a:prstGeom>
                    <a:noFill/>
                    <a:ln w="9525">
                      <a:noFill/>
                      <a:headEnd/>
                      <a:tailEnd/>
                    </a:ln>
                  </pic:spPr>
                </pic:pic>
              </a:graphicData>
            </a:graphic>
          </wp:inline>
        </w:drawing>
      </w:r>
    </w:p>
    <w:bookmarkEnd w:id="29"/>
    <w:bookmarkEnd w:id="30"/>
    <w:bookmarkStart w:id="39"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preparation"/>
    <w:p>
      <w:pPr>
        <w:pStyle w:val="Heading2"/>
      </w:pPr>
      <w:r>
        <w:rPr>
          <w:rStyle w:val="SectionNumber"/>
        </w:rPr>
        <w:t xml:space="preserve">3.2</w:t>
      </w:r>
      <w:r>
        <w:tab/>
      </w:r>
      <w:r>
        <w:t xml:space="preserve">Data preparation</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right"/>
            </w:pPr>
            <w:r>
              <w:t xml:space="preserve">trees</w:t>
            </w:r>
          </w:p>
        </w:tc>
        <w:tc>
          <w:tcPr>
            <w:tcBorders>
              <w:bottom w:val="single"/>
            </w:tcBorders>
            <w:vAlign w:val="bottom"/>
          </w:tcPr>
          <w:p>
            <w:pPr>
              <w:pStyle w:val="Compact"/>
              <w:jc w:val="righ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right"/>
            </w:pPr>
            <w:r>
              <w:t xml:space="preserve">13</w:t>
            </w:r>
          </w:p>
        </w:tc>
        <w:tc>
          <w:p>
            <w:pPr>
              <w:pStyle w:val="Compact"/>
              <w:jc w:val="right"/>
            </w:pPr>
            <w:r>
              <w:t xml:space="preserve">89</w:t>
            </w:r>
          </w:p>
        </w:tc>
      </w:tr>
      <w:tr>
        <w:tc>
          <w:p/>
        </w:tc>
        <w:tc>
          <w:p>
            <w:pPr>
              <w:pStyle w:val="Compact"/>
              <w:jc w:val="left"/>
            </w:pPr>
            <w:r>
              <w:t xml:space="preserve">Tulip Poplar</w:t>
            </w:r>
          </w:p>
        </w:tc>
        <w:tc>
          <w:p>
            <w:pPr>
              <w:pStyle w:val="Compact"/>
              <w:jc w:val="left"/>
            </w:pPr>
            <w:r>
              <w:t xml:space="preserve">diffuse</w:t>
            </w:r>
          </w:p>
        </w:tc>
        <w:tc>
          <w:p>
            <w:pPr>
              <w:pStyle w:val="Compact"/>
              <w:jc w:val="right"/>
            </w:pPr>
            <w:r>
              <w:t xml:space="preserve">41</w:t>
            </w:r>
          </w:p>
        </w:tc>
        <w:tc>
          <w:p>
            <w:pPr>
              <w:pStyle w:val="Compact"/>
              <w:jc w:val="right"/>
            </w:pPr>
            <w:r>
              <w:t xml:space="preserve">354</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34</w:t>
            </w:r>
          </w:p>
        </w:tc>
        <w:tc>
          <w:p>
            <w:pPr>
              <w:pStyle w:val="Compact"/>
              <w:jc w:val="right"/>
            </w:pPr>
            <w:r>
              <w:t xml:space="preserve">197</w:t>
            </w:r>
          </w:p>
        </w:tc>
      </w:tr>
      <w:tr>
        <w:tc>
          <w:p/>
        </w:tc>
        <w:tc>
          <w:p>
            <w:pPr>
              <w:pStyle w:val="Compact"/>
              <w:jc w:val="left"/>
            </w:pPr>
            <w:r>
              <w:t xml:space="preserve">White Oak</w:t>
            </w:r>
          </w:p>
        </w:tc>
        <w:tc>
          <w:p>
            <w:pPr>
              <w:pStyle w:val="Compact"/>
              <w:jc w:val="left"/>
            </w:pPr>
            <w:r>
              <w:t xml:space="preserve">ring</w:t>
            </w:r>
          </w:p>
        </w:tc>
        <w:tc>
          <w:p>
            <w:pPr>
              <w:pStyle w:val="Compact"/>
              <w:jc w:val="right"/>
            </w:pPr>
            <w:r>
              <w:t xml:space="preserve">35</w:t>
            </w:r>
          </w:p>
        </w:tc>
        <w:tc>
          <w:p>
            <w:pPr>
              <w:pStyle w:val="Compact"/>
              <w:jc w:val="right"/>
            </w:pPr>
            <w:r>
              <w:t xml:space="preserve">229</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right"/>
            </w:pPr>
            <w:r>
              <w:t xml:space="preserve">8</w:t>
            </w:r>
          </w:p>
        </w:tc>
        <w:tc>
          <w:p>
            <w:pPr>
              <w:pStyle w:val="Compact"/>
              <w:jc w:val="right"/>
            </w:pPr>
            <w:r>
              <w:t xml:space="preserve">45</w:t>
            </w:r>
          </w:p>
        </w:tc>
      </w:tr>
      <w:tr>
        <w:tc>
          <w:p/>
        </w:tc>
        <w:tc>
          <w:p>
            <w:pPr>
              <w:pStyle w:val="Compact"/>
              <w:jc w:val="left"/>
            </w:pPr>
            <w:r>
              <w:t xml:space="preserve">Black Birch</w:t>
            </w:r>
          </w:p>
        </w:tc>
        <w:tc>
          <w:p>
            <w:pPr>
              <w:pStyle w:val="Compact"/>
              <w:jc w:val="left"/>
            </w:pPr>
            <w:r>
              <w:t xml:space="preserve">diffuse</w:t>
            </w:r>
          </w:p>
        </w:tc>
        <w:tc>
          <w:p>
            <w:pPr>
              <w:pStyle w:val="Compact"/>
              <w:jc w:val="right"/>
            </w:pPr>
            <w:r>
              <w:t xml:space="preserve">8</w:t>
            </w:r>
          </w:p>
        </w:tc>
        <w:tc>
          <w:p>
            <w:pPr>
              <w:pStyle w:val="Compact"/>
              <w:jc w:val="right"/>
            </w:pPr>
            <w:r>
              <w:t xml:space="preserve">44</w:t>
            </w:r>
          </w:p>
        </w:tc>
      </w:tr>
      <w:tr>
        <w:tc>
          <w:p/>
        </w:tc>
        <w:tc>
          <w:p>
            <w:pPr>
              <w:pStyle w:val="Compact"/>
              <w:jc w:val="left"/>
            </w:pPr>
            <w:r>
              <w:t xml:space="preserve">Grey Birch</w:t>
            </w:r>
          </w:p>
        </w:tc>
        <w:tc>
          <w:p>
            <w:pPr>
              <w:pStyle w:val="Compact"/>
              <w:jc w:val="left"/>
            </w:pPr>
            <w:r>
              <w:t xml:space="preserve">diffuse</w:t>
            </w:r>
          </w:p>
        </w:tc>
        <w:tc>
          <w:p>
            <w:pPr>
              <w:pStyle w:val="Compact"/>
              <w:jc w:val="right"/>
            </w:pPr>
            <w:r>
              <w:t xml:space="preserve">5</w:t>
            </w:r>
          </w:p>
        </w:tc>
        <w:tc>
          <w:p>
            <w:pPr>
              <w:pStyle w:val="Compact"/>
              <w:jc w:val="right"/>
            </w:pPr>
            <w:r>
              <w:t xml:space="preserve">24</w:t>
            </w:r>
          </w:p>
        </w:tc>
      </w:tr>
      <w:tr>
        <w:tc>
          <w:p/>
        </w:tc>
        <w:tc>
          <w:p>
            <w:pPr>
              <w:pStyle w:val="Compact"/>
              <w:jc w:val="left"/>
            </w:pPr>
            <w:r>
              <w:t xml:space="preserve">White Birch</w:t>
            </w:r>
          </w:p>
        </w:tc>
        <w:tc>
          <w:p>
            <w:pPr>
              <w:pStyle w:val="Compact"/>
              <w:jc w:val="left"/>
            </w:pPr>
            <w:r>
              <w:t xml:space="preserve">diffuse</w:t>
            </w:r>
          </w:p>
        </w:tc>
        <w:tc>
          <w:p>
            <w:pPr>
              <w:pStyle w:val="Compact"/>
              <w:jc w:val="right"/>
            </w:pPr>
            <w:r>
              <w:t xml:space="preserve">3</w:t>
            </w:r>
          </w:p>
        </w:tc>
        <w:tc>
          <w:p>
            <w:pPr>
              <w:pStyle w:val="Compact"/>
              <w:jc w:val="right"/>
            </w:pPr>
            <w:r>
              <w:t xml:space="preserve">13</w:t>
            </w:r>
          </w:p>
        </w:tc>
      </w:tr>
      <w:tr>
        <w:tc>
          <w:p/>
        </w:tc>
        <w:tc>
          <w:p>
            <w:pPr>
              <w:pStyle w:val="Compact"/>
              <w:jc w:val="left"/>
            </w:pPr>
            <w:r>
              <w:t xml:space="preserve">Yellow Birch</w:t>
            </w:r>
          </w:p>
        </w:tc>
        <w:tc>
          <w:p>
            <w:pPr>
              <w:pStyle w:val="Compact"/>
              <w:jc w:val="left"/>
            </w:pPr>
            <w:r>
              <w:t xml:space="preserve">diffuse</w:t>
            </w:r>
          </w:p>
        </w:tc>
        <w:tc>
          <w:p>
            <w:pPr>
              <w:pStyle w:val="Compact"/>
              <w:jc w:val="right"/>
            </w:pPr>
            <w:r>
              <w:t xml:space="preserve">21</w:t>
            </w:r>
          </w:p>
        </w:tc>
        <w:tc>
          <w:p>
            <w:pPr>
              <w:pStyle w:val="Compact"/>
              <w:jc w:val="right"/>
            </w:pPr>
            <w:r>
              <w:t xml:space="preserve">90</w:t>
            </w:r>
          </w:p>
        </w:tc>
      </w:tr>
      <w:tr>
        <w:tc>
          <w:p/>
        </w:tc>
        <w:tc>
          <w:p>
            <w:pPr>
              <w:pStyle w:val="Compact"/>
              <w:jc w:val="left"/>
            </w:pPr>
            <w:r>
              <w:t xml:space="preserve">Black Cherry</w:t>
            </w:r>
          </w:p>
        </w:tc>
        <w:tc>
          <w:p>
            <w:pPr>
              <w:pStyle w:val="Compact"/>
              <w:jc w:val="left"/>
            </w:pPr>
            <w:r>
              <w:t xml:space="preserve">diffuse</w:t>
            </w:r>
          </w:p>
        </w:tc>
        <w:tc>
          <w:p>
            <w:pPr>
              <w:pStyle w:val="Compact"/>
              <w:jc w:val="right"/>
            </w:pPr>
            <w:r>
              <w:t xml:space="preserve">9</w:t>
            </w:r>
          </w:p>
        </w:tc>
        <w:tc>
          <w:p>
            <w:pPr>
              <w:pStyle w:val="Compact"/>
              <w:jc w:val="right"/>
            </w:pPr>
            <w:r>
              <w:t xml:space="preserve">37</w:t>
            </w:r>
          </w:p>
        </w:tc>
      </w:tr>
      <w:tr>
        <w:tc>
          <w:p/>
        </w:tc>
        <w:tc>
          <w:p>
            <w:pPr>
              <w:pStyle w:val="Compact"/>
              <w:jc w:val="left"/>
            </w:pPr>
            <w:r>
              <w:t xml:space="preserve">Red Maple</w:t>
            </w:r>
          </w:p>
        </w:tc>
        <w:tc>
          <w:p>
            <w:pPr>
              <w:pStyle w:val="Compact"/>
              <w:jc w:val="left"/>
            </w:pPr>
            <w:r>
              <w:t xml:space="preserve">diffuse</w:t>
            </w:r>
          </w:p>
        </w:tc>
        <w:tc>
          <w:p>
            <w:pPr>
              <w:pStyle w:val="Compact"/>
              <w:jc w:val="right"/>
            </w:pPr>
            <w:r>
              <w:t xml:space="preserve">144</w:t>
            </w:r>
          </w:p>
        </w:tc>
        <w:tc>
          <w:p>
            <w:pPr>
              <w:pStyle w:val="Compact"/>
              <w:jc w:val="right"/>
            </w:pPr>
            <w:r>
              <w:t xml:space="preserve">669</w:t>
            </w:r>
          </w:p>
        </w:tc>
      </w:tr>
      <w:tr>
        <w:tc>
          <w:p/>
        </w:tc>
        <w:tc>
          <w:p>
            <w:pPr>
              <w:pStyle w:val="Compact"/>
              <w:jc w:val="left"/>
            </w:pPr>
            <w:r>
              <w:t xml:space="preserve">Striped Maple</w:t>
            </w:r>
          </w:p>
        </w:tc>
        <w:tc>
          <w:p>
            <w:pPr>
              <w:pStyle w:val="Compact"/>
              <w:jc w:val="left"/>
            </w:pPr>
            <w:r>
              <w:t xml:space="preserve">diffuse</w:t>
            </w:r>
          </w:p>
        </w:tc>
        <w:tc>
          <w:p>
            <w:pPr>
              <w:pStyle w:val="Compact"/>
              <w:jc w:val="right"/>
            </w:pPr>
            <w:r>
              <w:t xml:space="preserve">4</w:t>
            </w:r>
          </w:p>
        </w:tc>
        <w:tc>
          <w:p>
            <w:pPr>
              <w:pStyle w:val="Compact"/>
              <w:jc w:val="right"/>
            </w:pPr>
            <w:r>
              <w:t xml:space="preserve">16</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118</w:t>
            </w:r>
          </w:p>
        </w:tc>
        <w:tc>
          <w:p>
            <w:pPr>
              <w:pStyle w:val="Compact"/>
              <w:jc w:val="right"/>
            </w:pPr>
            <w:r>
              <w:t xml:space="preserve">575</w:t>
            </w:r>
          </w:p>
        </w:tc>
      </w:tr>
      <w:tr>
        <w:tc>
          <w:p/>
        </w:tc>
        <w:tc>
          <w:p>
            <w:pPr>
              <w:pStyle w:val="Compact"/>
              <w:jc w:val="left"/>
            </w:pPr>
            <w:r>
              <w:t xml:space="preserve">Black Oak</w:t>
            </w:r>
          </w:p>
        </w:tc>
        <w:tc>
          <w:p>
            <w:pPr>
              <w:pStyle w:val="Compact"/>
              <w:jc w:val="left"/>
            </w:pPr>
            <w:r>
              <w:t xml:space="preserve">ring</w:t>
            </w:r>
          </w:p>
        </w:tc>
        <w:tc>
          <w:p>
            <w:pPr>
              <w:pStyle w:val="Compact"/>
              <w:jc w:val="right"/>
            </w:pPr>
            <w:r>
              <w:t xml:space="preserve">11</w:t>
            </w:r>
          </w:p>
        </w:tc>
        <w:tc>
          <w:p>
            <w:pPr>
              <w:pStyle w:val="Compact"/>
              <w:jc w:val="right"/>
            </w:pPr>
            <w:r>
              <w:t xml:space="preserve">50</w:t>
            </w:r>
          </w:p>
        </w:tc>
      </w:tr>
      <w:tr>
        <w:tc>
          <w:p/>
        </w:tc>
        <w:tc>
          <w:p>
            <w:pPr>
              <w:pStyle w:val="Compact"/>
              <w:jc w:val="left"/>
            </w:pPr>
            <w:r>
              <w:t xml:space="preserve">White Ash</w:t>
            </w:r>
          </w:p>
        </w:tc>
        <w:tc>
          <w:p>
            <w:pPr>
              <w:pStyle w:val="Compact"/>
              <w:jc w:val="left"/>
            </w:pPr>
            <w:r>
              <w:t xml:space="preserve">ring</w:t>
            </w:r>
          </w:p>
        </w:tc>
        <w:tc>
          <w:p>
            <w:pPr>
              <w:pStyle w:val="Compact"/>
              <w:jc w:val="right"/>
            </w:pPr>
            <w:r>
              <w:t xml:space="preserve">9</w:t>
            </w:r>
          </w:p>
        </w:tc>
        <w:tc>
          <w:p>
            <w:pPr>
              <w:pStyle w:val="Compact"/>
              <w:jc w:val="right"/>
            </w:pPr>
            <w:r>
              <w:t xml:space="preserve">27</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 </w:t>
      </w:r>
      <w:r>
        <w:t xml:space="preserve">–</w:t>
      </w:r>
      <w:r>
        <w:t xml:space="preserve"> </w:t>
      </w:r>
      <w:r>
        <w:rPr>
          <w:i/>
        </w:rPr>
        <w:t xml:space="preserve">Manually cleaning was done for pre-analysis data. Added some text to clarify.</w:t>
      </w:r>
      <w:r>
        <w:t xml:space="preserve">)</w:t>
      </w:r>
      <w:r>
        <w:t xml:space="preserve"> </w:t>
      </w:r>
      <w:r>
        <w:t xml:space="preserve">The dendroband data were manually cleaned by visual inspection before being used for modeling.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 L + ((K - L) / (1 + 1/theta * exp(-(r * (doy - doy_ip) / theta)) ^ theta))</w:t>
      </w:r>
      <w:r>
        <w:t xml:space="preserve"> </w:t>
      </w:r>
      <w:r>
        <w:t xml:space="preserve">Where L and K are lower and upper asymptotes of the model, theta is a tuning parameter controlling the slope of the curve toward the upper asymptote, r is the slope of the curve at the inflection point, doy_ip is the day of year where the inflection point occurs, and doy 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5"/>
    <w:bookmarkEnd w:id="36"/>
    <w:bookmarkStart w:id="37"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7"/>
    <w:bookmarkStart w:id="38"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8"/>
    <w:bookmarkEnd w:id="39"/>
    <w:bookmarkStart w:id="50" w:name="results"/>
    <w:p>
      <w:pPr>
        <w:pStyle w:val="Heading1"/>
      </w:pPr>
      <w:r>
        <w:rPr>
          <w:rStyle w:val="SectionNumber"/>
        </w:rPr>
        <w:t xml:space="preserve">4</w:t>
      </w:r>
      <w:r>
        <w:tab/>
      </w:r>
      <w:r>
        <w:t xml:space="preserve">Results</w:t>
      </w:r>
    </w:p>
    <w:bookmarkStart w:id="41" w:name="phenological-patterns"/>
    <w:p>
      <w:pPr>
        <w:pStyle w:val="Heading2"/>
      </w:pPr>
      <w:r>
        <w:rPr>
          <w:rStyle w:val="SectionNumber"/>
        </w:rPr>
        <w:t xml:space="preserve">4.1</w:t>
      </w:r>
      <w:r>
        <w:tab/>
      </w: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w:t>
      </w:r>
      <w:r>
        <w:t xml:space="preserve"> </w:t>
      </w:r>
      <w:r>
        <w:rPr>
          <w:b/>
        </w:rPr>
        <w:t xml:space="preserve">21</w:t>
      </w:r>
      <w:r>
        <w:t xml:space="preserve"> </w:t>
      </w:r>
      <w:r>
        <w:t xml:space="preserve">days longer at SCBI and</w:t>
      </w:r>
      <w:r>
        <w:t xml:space="preserve"> </w:t>
      </w:r>
      <w:r>
        <w:rPr>
          <w:b/>
        </w:rPr>
        <w:t xml:space="preserve">19</w:t>
      </w:r>
      <w:r>
        <w:t xml:space="preserve"> </w:t>
      </w:r>
      <w:r>
        <w:t xml:space="preserve">days longer at Harvard Forest.</w:t>
      </w:r>
      <w:r>
        <w:t xml:space="preserve"> </w:t>
      </w:r>
      <w:r>
        <w:rPr>
          <w:i/>
        </w:rPr>
        <w:t xml:space="preserve">(These numbers are calculated as based on</w:t>
      </w:r>
      <w:r>
        <w:rPr>
          <w:i/>
        </w:rPr>
        <w:t xml:space="preserve"> </w:t>
      </w:r>
      <w:r>
        <w:rPr>
          <w:rStyle w:val="VerbatimChar"/>
          <w:i/>
        </w:rPr>
        <w:t xml:space="preserve">mean DOY75- mean DOY25</w:t>
      </w:r>
      <w:r>
        <w:rPr>
          <w:i/>
        </w:rPr>
        <w:t xml:space="preserve">, whereas we want</w:t>
      </w:r>
      <w:r>
        <w:rPr>
          <w:i/>
        </w:rPr>
        <w:t xml:space="preserve"> </w:t>
      </w:r>
      <w:r>
        <w:rPr>
          <w:rStyle w:val="VerbatimChar"/>
          <w:i/>
        </w:rPr>
        <w:t xml:space="preserve">mean [DOY75- DOY25]</w:t>
      </w:r>
      <w:r>
        <w:rPr>
          <w:i/>
        </w:rPr>
        <w:t xml:space="preserve">. Need to fix this, but I filled in approximate numbers for now.)</w:t>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p>
      <w:r>
        <w:br w:type="page"/>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3/22-4/9</w:t>
            </w:r>
          </w:p>
        </w:tc>
        <w:tc>
          <w:p>
            <w:pPr>
              <w:pStyle w:val="Compact"/>
              <w:jc w:val="left"/>
            </w:pPr>
            <w:r>
              <w:t xml:space="preserve">2/19-5/21</w:t>
            </w:r>
          </w:p>
        </w:tc>
        <w:tc>
          <w:p>
            <w:pPr>
              <w:pStyle w:val="Compact"/>
              <w:jc w:val="left"/>
            </w:pPr>
            <w:r>
              <w:t xml:space="preserve">4/2-5/7</w:t>
            </w:r>
          </w:p>
        </w:tc>
        <w:tc>
          <w:p>
            <w:pPr>
              <w:pStyle w:val="Compact"/>
              <w:jc w:val="left"/>
            </w:pPr>
            <w:r>
              <w:t xml:space="preserve">3/19-5/7</w:t>
            </w:r>
          </w:p>
        </w:tc>
      </w:tr>
      <w:tr>
        <w:tc>
          <w:p>
            <w:pPr>
              <w:pStyle w:val="Compact"/>
              <w:jc w:val="left"/>
            </w:pPr>
            <w:r>
              <w:t xml:space="preserve">DOY.25</w:t>
            </w:r>
          </w:p>
        </w:tc>
        <w:tc>
          <w:p>
            <w:pPr>
              <w:pStyle w:val="Compact"/>
              <w:jc w:val="left"/>
            </w:pPr>
            <w:r>
              <w:t xml:space="preserve">123 (May 4)</w:t>
            </w:r>
          </w:p>
        </w:tc>
        <w:tc>
          <w:p>
            <w:pPr>
              <w:pStyle w:val="Compact"/>
              <w:jc w:val="left"/>
            </w:pPr>
            <w:r>
              <w:t xml:space="preserve">154 (June 4)</w:t>
            </w:r>
          </w:p>
        </w:tc>
        <w:tc>
          <w:p>
            <w:pPr>
              <w:pStyle w:val="Compact"/>
              <w:jc w:val="left"/>
            </w:pPr>
            <w:r>
              <w:t xml:space="preserve">132 (May 15)</w:t>
            </w:r>
          </w:p>
        </w:tc>
        <w:tc>
          <w:p>
            <w:pPr>
              <w:pStyle w:val="Compact"/>
              <w:jc w:val="left"/>
            </w:pPr>
            <w:r>
              <w:t xml:space="preserve">164 (June 14)</w:t>
            </w:r>
          </w:p>
        </w:tc>
      </w:tr>
      <w:tr>
        <w:tc>
          <w:p>
            <w:pPr>
              <w:pStyle w:val="Compact"/>
              <w:jc w:val="left"/>
            </w:pPr>
            <w:r>
              <w:t xml:space="preserve">DOY.50</w:t>
            </w:r>
          </w:p>
        </w:tc>
        <w:tc>
          <w:p>
            <w:pPr>
              <w:pStyle w:val="Compact"/>
              <w:jc w:val="left"/>
            </w:pPr>
            <w:r>
              <w:t xml:space="preserve">152 (June 2)</w:t>
            </w:r>
          </w:p>
        </w:tc>
        <w:tc>
          <w:p>
            <w:pPr>
              <w:pStyle w:val="Compact"/>
              <w:jc w:val="left"/>
            </w:pPr>
            <w:r>
              <w:t xml:space="preserve">172 (June 22)</w:t>
            </w:r>
          </w:p>
        </w:tc>
        <w:tc>
          <w:p>
            <w:pPr>
              <w:pStyle w:val="Compact"/>
              <w:jc w:val="left"/>
            </w:pPr>
            <w:r>
              <w:t xml:space="preserve">159 (June 9)</w:t>
            </w:r>
          </w:p>
        </w:tc>
        <w:tc>
          <w:p>
            <w:pPr>
              <w:pStyle w:val="Compact"/>
              <w:jc w:val="left"/>
            </w:pPr>
            <w:r>
              <w:t xml:space="preserve">182 (July 2)</w:t>
            </w:r>
          </w:p>
        </w:tc>
      </w:tr>
      <w:tr>
        <w:tc>
          <w:p>
            <w:pPr>
              <w:pStyle w:val="Compact"/>
              <w:jc w:val="left"/>
            </w:pPr>
            <w:r>
              <w:t xml:space="preserve">DOY.75</w:t>
            </w:r>
          </w:p>
        </w:tc>
        <w:tc>
          <w:p>
            <w:pPr>
              <w:pStyle w:val="Compact"/>
              <w:jc w:val="left"/>
            </w:pPr>
            <w:r>
              <w:t xml:space="preserve">180 (June 30)</w:t>
            </w:r>
          </w:p>
        </w:tc>
        <w:tc>
          <w:p>
            <w:pPr>
              <w:pStyle w:val="Compact"/>
              <w:jc w:val="left"/>
            </w:pPr>
            <w:r>
              <w:t xml:space="preserve">190 (July 9)</w:t>
            </w:r>
          </w:p>
        </w:tc>
        <w:tc>
          <w:p>
            <w:pPr>
              <w:pStyle w:val="Compact"/>
              <w:jc w:val="left"/>
            </w:pPr>
            <w:r>
              <w:t xml:space="preserve">186 (July 6)</w:t>
            </w:r>
          </w:p>
        </w:tc>
        <w:tc>
          <w:p>
            <w:pPr>
              <w:pStyle w:val="Compact"/>
              <w:jc w:val="left"/>
            </w:pPr>
            <w:r>
              <w:t xml:space="preserve">199 (July 19)</w:t>
            </w:r>
          </w:p>
        </w:tc>
      </w:tr>
      <w:tr>
        <w:tc>
          <w:p>
            <w:pPr>
              <w:pStyle w:val="Compact"/>
              <w:jc w:val="left"/>
            </w:pPr>
            <w:r>
              <w:t xml:space="preserve">DOY.g.max</w:t>
            </w:r>
          </w:p>
        </w:tc>
        <w:tc>
          <w:p>
            <w:pPr>
              <w:pStyle w:val="Compact"/>
              <w:jc w:val="left"/>
            </w:pPr>
            <w:r>
              <w:t xml:space="preserve">152 (June 2)</w:t>
            </w:r>
          </w:p>
        </w:tc>
        <w:tc>
          <w:p>
            <w:pPr>
              <w:pStyle w:val="Compact"/>
              <w:jc w:val="left"/>
            </w:pPr>
            <w:r>
              <w:t xml:space="preserve">173 (June 23)</w:t>
            </w:r>
          </w:p>
        </w:tc>
        <w:tc>
          <w:p>
            <w:pPr>
              <w:pStyle w:val="Compact"/>
              <w:jc w:val="left"/>
            </w:pPr>
            <w:r>
              <w:t xml:space="preserve">161 (June 11)</w:t>
            </w:r>
          </w:p>
        </w:tc>
        <w:tc>
          <w:p>
            <w:pPr>
              <w:pStyle w:val="Compact"/>
              <w:jc w:val="left"/>
            </w:pPr>
            <w:r>
              <w:t xml:space="preserve">183 (July 3)</w:t>
            </w:r>
          </w:p>
        </w:tc>
      </w:tr>
      <w:tr>
        <w:tc>
          <w:p>
            <w:pPr>
              <w:pStyle w:val="Compact"/>
              <w:jc w:val="left"/>
            </w:pPr>
            <w:r>
              <w:t xml:space="preserve">g.max (mm/day)</w:t>
            </w:r>
          </w:p>
        </w:tc>
        <w:tc>
          <w:p>
            <w:pPr>
              <w:pStyle w:val="Compact"/>
              <w:jc w:val="left"/>
            </w:pPr>
            <w:r>
              <w:t xml:space="preserve">0.046</w:t>
            </w:r>
          </w:p>
        </w:tc>
        <w:tc>
          <w:p>
            <w:pPr>
              <w:pStyle w:val="Compact"/>
              <w:jc w:val="left"/>
            </w:pPr>
            <w:r>
              <w:t xml:space="preserve">0.061</w:t>
            </w:r>
          </w:p>
        </w:tc>
        <w:tc>
          <w:p>
            <w:pPr>
              <w:pStyle w:val="Compact"/>
              <w:jc w:val="left"/>
            </w:pPr>
            <w:r>
              <w:t xml:space="preserve">0.03</w:t>
            </w:r>
          </w:p>
        </w:tc>
        <w:tc>
          <w:p>
            <w:pPr>
              <w:pStyle w:val="Compact"/>
              <w:jc w:val="left"/>
            </w:pPr>
            <w:r>
              <w:t xml:space="preserve">0.025</w:t>
            </w:r>
          </w:p>
        </w:tc>
      </w:tr>
      <w:tr>
        <w:tc>
          <w:p>
            <w:pPr>
              <w:pStyle w:val="Compact"/>
              <w:jc w:val="left"/>
            </w:pPr>
            <w:r>
              <w:t xml:space="preserve">L.pgs</w:t>
            </w:r>
          </w:p>
        </w:tc>
        <w:tc>
          <w:p>
            <w:pPr>
              <w:pStyle w:val="Compact"/>
              <w:jc w:val="left"/>
            </w:pPr>
            <w:r>
              <w:t xml:space="preserve">56.5</w:t>
            </w:r>
          </w:p>
        </w:tc>
        <w:tc>
          <w:p>
            <w:pPr>
              <w:pStyle w:val="Compact"/>
              <w:jc w:val="left"/>
            </w:pPr>
            <w:r>
              <w:t xml:space="preserve">35.8</w:t>
            </w:r>
          </w:p>
        </w:tc>
        <w:tc>
          <w:p>
            <w:pPr>
              <w:pStyle w:val="Compact"/>
              <w:jc w:val="left"/>
            </w:pPr>
            <w:r>
              <w:t xml:space="preserve">54.5</w:t>
            </w:r>
          </w:p>
        </w:tc>
        <w:tc>
          <w:p>
            <w:pPr>
              <w:pStyle w:val="Compact"/>
              <w:jc w:val="left"/>
            </w:pPr>
            <w:r>
              <w:t xml:space="preserve">35.1</w:t>
            </w:r>
          </w:p>
        </w:tc>
      </w:tr>
      <w:tr>
        <w:tc>
          <w:p>
            <w:pPr>
              <w:pStyle w:val="Compact"/>
              <w:jc w:val="left"/>
            </w:pPr>
            <w:r>
              <w:t xml:space="preserve">delta.DBH (mm/yr)</w:t>
            </w:r>
          </w:p>
        </w:tc>
        <w:tc>
          <w:p>
            <w:pPr>
              <w:pStyle w:val="Compact"/>
              <w:jc w:val="left"/>
            </w:pPr>
            <w:r>
              <w:t xml:space="preserve">4.7</w:t>
            </w:r>
          </w:p>
        </w:tc>
        <w:tc>
          <w:p>
            <w:pPr>
              <w:pStyle w:val="Compact"/>
              <w:jc w:val="left"/>
            </w:pPr>
            <w:r>
              <w:t xml:space="preserve">3.6</w:t>
            </w:r>
          </w:p>
        </w:tc>
        <w:tc>
          <w:p>
            <w:pPr>
              <w:pStyle w:val="Compact"/>
              <w:jc w:val="left"/>
            </w:pPr>
            <w:r>
              <w:t xml:space="preserve">3.1</w:t>
            </w:r>
          </w:p>
        </w:tc>
        <w:tc>
          <w:p>
            <w:pPr>
              <w:pStyle w:val="Compact"/>
              <w:jc w:val="left"/>
            </w:pPr>
            <w:r>
              <w:t xml:space="preserve">1.4</w:t>
            </w:r>
          </w:p>
        </w:tc>
      </w:tr>
    </w:tbl>
    <w:bookmarkEnd w:id="41"/>
    <w:bookmarkStart w:id="44"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2">
        <w:r>
          <w:rPr>
            <w:rStyle w:val="Hyperlink"/>
            <w:b/>
          </w:rPr>
          <w:t xml:space="preserve">issue 34</w:t>
        </w:r>
      </w:hyperlink>
      <w:r>
        <w:t xml:space="preserve"> </w:t>
      </w:r>
      <w:r>
        <w:t xml:space="preserve">)</w:t>
      </w:r>
    </w:p>
    <w:p>
      <w:pPr>
        <w:pStyle w:val="CaptionedFigure"/>
      </w:pPr>
      <w:r>
        <w:drawing>
          <wp:inline>
            <wp:extent cx="5943600" cy="8915400"/>
            <wp:effectExtent b="0" l="0" r="0" t="0"/>
            <wp:docPr descr="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3"/>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4"/>
    <w:bookmarkStart w:id="47"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5"/>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47"/>
    <w:bookmarkStart w:id="49"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9"/>
    <w:bookmarkEnd w:id="50"/>
    <w:bookmarkStart w:id="56" w:name="discussion"/>
    <w:p>
      <w:pPr>
        <w:pStyle w:val="Heading1"/>
      </w:pPr>
      <w:r>
        <w:rPr>
          <w:rStyle w:val="SectionNumber"/>
        </w:rPr>
        <w:t xml:space="preserve">5</w:t>
      </w:r>
      <w:r>
        <w:tab/>
      </w:r>
      <w:r>
        <w:t xml:space="preserve">Discussion</w:t>
      </w:r>
    </w:p>
    <w:bookmarkStart w:id="51"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1"/>
    <w:bookmarkStart w:id="52"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p>
      <w:pPr>
        <w:pStyle w:val="FirstParagraph"/>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within</w:t>
      </w:r>
    </w:p>
    <w:bookmarkEnd w:id="52"/>
    <w:bookmarkStart w:id="53"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bookmarkEnd w:id="53"/>
    <w:bookmarkStart w:id="54"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bookmarkEnd w:id="54"/>
    <w:bookmarkStart w:id="55"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5"/>
    <w:bookmarkEnd w:id="56"/>
    <w:bookmarkStart w:id="57" w:name="content-to-incorporate"/>
    <w:p>
      <w:pPr>
        <w:pStyle w:val="Heading1"/>
      </w:pPr>
      <w:r>
        <w:rPr>
          <w:rStyle w:val="SectionNumber"/>
        </w:rPr>
        <w:t xml:space="preserve">6</w:t>
      </w:r>
      <w:r>
        <w:tab/>
      </w: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7"/>
    <w:bookmarkStart w:id="58"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8"/>
    <w:bookmarkStart w:id="59" w:name="author-contributions"/>
    <w:p>
      <w:pPr>
        <w:pStyle w:val="Heading1"/>
      </w:pPr>
      <w:r>
        <w:rPr>
          <w:rStyle w:val="SectionNumber"/>
        </w:rPr>
        <w:t xml:space="preserve">8</w:t>
      </w:r>
      <w:r>
        <w:tab/>
      </w:r>
      <w:r>
        <w:t xml:space="preserve">Author Contributions</w:t>
      </w:r>
    </w:p>
    <w:bookmarkEnd w:id="59"/>
    <w:bookmarkStart w:id="60"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60"/>
    <w:bookmarkStart w:id="79" w:name="references"/>
    <w:p>
      <w:pPr>
        <w:pStyle w:val="Heading1"/>
      </w:pPr>
      <w:r>
        <w:t xml:space="preserve">References</w:t>
      </w:r>
    </w:p>
    <w:bookmarkStart w:id="78" w:name="refs"/>
    <w:bookmarkStart w:id="61"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1"/>
    <w:bookmarkStart w:id="63"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2">
        <w:r>
          <w:rPr>
            <w:rStyle w:val="Hyperlink"/>
          </w:rPr>
          <w:t xml:space="preserve">https://doi.org/10.1111/j.1365-2486.2005.001012.x</w:t>
        </w:r>
      </w:hyperlink>
    </w:p>
    <w:bookmarkEnd w:id="63"/>
    <w:bookmarkStart w:id="6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4">
        <w:r>
          <w:rPr>
            <w:rStyle w:val="Hyperlink"/>
          </w:rPr>
          <w:t xml:space="preserve">https://doi.org/10.1175/JCLI3800.1</w:t>
        </w:r>
      </w:hyperlink>
    </w:p>
    <w:bookmarkEnd w:id="65"/>
    <w:bookmarkStart w:id="67"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6">
        <w:r>
          <w:rPr>
            <w:rStyle w:val="Hyperlink"/>
          </w:rPr>
          <w:t xml:space="preserve">https://doi.org/10.1111/gcb.14731</w:t>
        </w:r>
      </w:hyperlink>
    </w:p>
    <w:bookmarkEnd w:id="67"/>
    <w:bookmarkStart w:id="69"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8">
        <w:r>
          <w:rPr>
            <w:rStyle w:val="Hyperlink"/>
          </w:rPr>
          <w:t xml:space="preserve">https://doi.org/10.1038/nclimate2253</w:t>
        </w:r>
      </w:hyperlink>
    </w:p>
    <w:bookmarkEnd w:id="69"/>
    <w:bookmarkStart w:id="71"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0">
        <w:r>
          <w:rPr>
            <w:rStyle w:val="Hyperlink"/>
          </w:rPr>
          <w:t xml:space="preserve">https://doi.org/10.1002/ece3.1117</w:t>
        </w:r>
      </w:hyperlink>
    </w:p>
    <w:bookmarkEnd w:id="71"/>
    <w:bookmarkStart w:id="73"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2">
        <w:r>
          <w:rPr>
            <w:rStyle w:val="Hyperlink"/>
          </w:rPr>
          <w:t xml:space="preserve">https://doi.org/10.1007/s13595-020-01008-1</w:t>
        </w:r>
      </w:hyperlink>
    </w:p>
    <w:bookmarkEnd w:id="73"/>
    <w:bookmarkStart w:id="75"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4">
        <w:r>
          <w:rPr>
            <w:rStyle w:val="Hyperlink"/>
          </w:rPr>
          <w:t xml:space="preserve">https://doi.org/10.1016/j.catena.2020.104936</w:t>
        </w:r>
      </w:hyperlink>
    </w:p>
    <w:bookmarkEnd w:id="75"/>
    <w:bookmarkStart w:id="77"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6">
        <w:r>
          <w:rPr>
            <w:rStyle w:val="Hyperlink"/>
          </w:rPr>
          <w:t xml:space="preserve">https://doi.org/10.1016/j.agrformet.2016.06.010</w:t>
        </w:r>
      </w:hyperlink>
    </w:p>
    <w:bookmarkEnd w:id="77"/>
    <w:bookmarkEnd w:id="78"/>
    <w:bookmarkEnd w:id="79"/>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image" Id="rId48" Target="media/rId48.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2020-12-03T14:48:24Z</dcterms:created>
  <dcterms:modified xsi:type="dcterms:W3CDTF">2020-12-03T14:48:24Z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